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E3A" w:rsidRDefault="00E7289F">
      <w:pPr>
        <w:spacing w:afterLines="50" w:after="120"/>
        <w:jc w:val="center"/>
        <w:rPr>
          <w:sz w:val="21"/>
          <w:szCs w:val="21"/>
          <w:lang w:eastAsia="zh-CN"/>
        </w:rPr>
      </w:pPr>
      <w:r>
        <w:rPr>
          <w:rFonts w:ascii="Arial" w:eastAsia="黑体" w:hAnsi="Arial" w:hint="eastAsia"/>
          <w:b/>
          <w:sz w:val="36"/>
          <w:szCs w:val="21"/>
          <w:lang w:eastAsia="zh-CN"/>
        </w:rPr>
        <w:t>ITASC2026</w:t>
      </w:r>
      <w:r>
        <w:rPr>
          <w:rFonts w:ascii="Arial" w:eastAsia="黑体" w:hAnsi="Arial" w:hint="eastAsia"/>
          <w:b/>
          <w:sz w:val="36"/>
          <w:szCs w:val="21"/>
          <w:lang w:eastAsia="zh-CN"/>
        </w:rPr>
        <w:t xml:space="preserve"> </w:t>
      </w:r>
      <w:r>
        <w:rPr>
          <w:rFonts w:ascii="Arial" w:eastAsia="黑体" w:hAnsi="Arial" w:hint="eastAsia"/>
          <w:b/>
          <w:sz w:val="36"/>
          <w:szCs w:val="21"/>
          <w:lang w:eastAsia="zh-CN"/>
        </w:rPr>
        <w:t>proceedings</w:t>
      </w:r>
      <w:r>
        <w:rPr>
          <w:rFonts w:ascii="Arial" w:eastAsia="黑体" w:hAnsi="Arial" w:hint="eastAsia"/>
          <w:b/>
          <w:sz w:val="36"/>
          <w:szCs w:val="21"/>
          <w:lang w:eastAsia="zh-CN"/>
        </w:rPr>
        <w:t>已于</w:t>
      </w:r>
      <w:r>
        <w:rPr>
          <w:rFonts w:ascii="Arial" w:eastAsia="黑体" w:hAnsi="Arial" w:hint="eastAsia"/>
          <w:b/>
          <w:sz w:val="36"/>
          <w:szCs w:val="21"/>
          <w:lang w:eastAsia="zh-CN"/>
        </w:rPr>
        <w:t>2026</w:t>
      </w:r>
      <w:r>
        <w:rPr>
          <w:rFonts w:ascii="Arial" w:eastAsia="黑体" w:hAnsi="Arial" w:hint="eastAsia"/>
          <w:b/>
          <w:sz w:val="36"/>
          <w:szCs w:val="21"/>
          <w:lang w:eastAsia="zh-CN"/>
        </w:rPr>
        <w:t>年</w:t>
      </w:r>
      <w:r>
        <w:rPr>
          <w:rFonts w:ascii="Arial" w:eastAsia="黑体" w:hAnsi="Arial" w:hint="eastAsia"/>
          <w:b/>
          <w:sz w:val="36"/>
          <w:szCs w:val="21"/>
          <w:lang w:eastAsia="zh-CN"/>
        </w:rPr>
        <w:t>9</w:t>
      </w:r>
      <w:r>
        <w:rPr>
          <w:rFonts w:ascii="Arial" w:eastAsia="黑体" w:hAnsi="Arial" w:hint="eastAsia"/>
          <w:b/>
          <w:sz w:val="36"/>
          <w:szCs w:val="21"/>
          <w:lang w:eastAsia="zh-CN"/>
        </w:rPr>
        <w:t>月</w:t>
      </w:r>
      <w:r>
        <w:rPr>
          <w:rFonts w:ascii="Arial" w:eastAsia="黑体" w:hAnsi="Arial" w:hint="eastAsia"/>
          <w:b/>
          <w:sz w:val="36"/>
          <w:szCs w:val="21"/>
          <w:lang w:eastAsia="zh-CN"/>
        </w:rPr>
        <w:t>8</w:t>
      </w:r>
      <w:r>
        <w:rPr>
          <w:rFonts w:ascii="Arial" w:eastAsia="黑体" w:hAnsi="Arial" w:hint="eastAsia"/>
          <w:b/>
          <w:sz w:val="36"/>
          <w:szCs w:val="21"/>
          <w:lang w:eastAsia="zh-CN"/>
        </w:rPr>
        <w:t>日全部上线</w:t>
      </w:r>
    </w:p>
    <w:p w:rsidR="00101E3A" w:rsidRDefault="00E7289F">
      <w:pPr>
        <w:pStyle w:val="af2"/>
        <w:spacing w:beforeAutospacing="0" w:afterAutospacing="0" w:line="300" w:lineRule="auto"/>
        <w:ind w:firstLineChars="200" w:firstLine="420"/>
        <w:rPr>
          <w:rFonts w:cstheme="minorBidi"/>
          <w:sz w:val="21"/>
          <w:szCs w:val="21"/>
        </w:rPr>
      </w:pPr>
      <w:r>
        <w:rPr>
          <w:rFonts w:cstheme="minorBidi"/>
          <w:sz w:val="21"/>
          <w:szCs w:val="21"/>
        </w:rPr>
        <w:t>近日，收到</w:t>
      </w:r>
      <w:r>
        <w:rPr>
          <w:rFonts w:cstheme="minorBidi"/>
          <w:sz w:val="21"/>
          <w:szCs w:val="21"/>
        </w:rPr>
        <w:t xml:space="preserve"> IEEE </w:t>
      </w:r>
      <w:r>
        <w:rPr>
          <w:rFonts w:cstheme="minorBidi"/>
          <w:sz w:val="21"/>
          <w:szCs w:val="21"/>
        </w:rPr>
        <w:t>官方通知，</w:t>
      </w:r>
      <w:r>
        <w:rPr>
          <w:rFonts w:cstheme="minorBidi"/>
          <w:sz w:val="21"/>
          <w:szCs w:val="21"/>
        </w:rPr>
        <w:t xml:space="preserve">2026 IEEE </w:t>
      </w:r>
      <w:r>
        <w:rPr>
          <w:rFonts w:cstheme="minorBidi"/>
          <w:sz w:val="21"/>
          <w:szCs w:val="21"/>
        </w:rPr>
        <w:t>智能交通与智慧城市国际研讨会（</w:t>
      </w:r>
      <w:r>
        <w:rPr>
          <w:rFonts w:cstheme="minorBidi"/>
          <w:sz w:val="21"/>
          <w:szCs w:val="21"/>
        </w:rPr>
        <w:t>ITASC 2026</w:t>
      </w:r>
      <w:r>
        <w:rPr>
          <w:rFonts w:cstheme="minorBidi"/>
          <w:sz w:val="21"/>
          <w:szCs w:val="21"/>
        </w:rPr>
        <w:t>）全部会议论文集已于</w:t>
      </w:r>
      <w:r>
        <w:rPr>
          <w:rFonts w:cstheme="minorBidi"/>
          <w:sz w:val="21"/>
          <w:szCs w:val="21"/>
        </w:rPr>
        <w:t xml:space="preserve"> 2026 </w:t>
      </w:r>
      <w:r>
        <w:rPr>
          <w:rFonts w:cstheme="minorBidi"/>
          <w:sz w:val="21"/>
          <w:szCs w:val="21"/>
        </w:rPr>
        <w:t>年</w:t>
      </w:r>
      <w:r>
        <w:rPr>
          <w:rFonts w:cstheme="minorBidi"/>
          <w:sz w:val="21"/>
          <w:szCs w:val="21"/>
        </w:rPr>
        <w:t xml:space="preserve"> 9 </w:t>
      </w:r>
      <w:r>
        <w:rPr>
          <w:rFonts w:cstheme="minorBidi"/>
          <w:sz w:val="21"/>
          <w:szCs w:val="21"/>
        </w:rPr>
        <w:t>月</w:t>
      </w:r>
      <w:r>
        <w:rPr>
          <w:rFonts w:cstheme="minorBidi"/>
          <w:sz w:val="21"/>
          <w:szCs w:val="21"/>
        </w:rPr>
        <w:t xml:space="preserve"> 8 </w:t>
      </w:r>
      <w:r>
        <w:rPr>
          <w:rFonts w:cstheme="minorBidi"/>
          <w:sz w:val="21"/>
          <w:szCs w:val="21"/>
        </w:rPr>
        <w:t>日正式上线</w:t>
      </w:r>
      <w:r>
        <w:rPr>
          <w:rFonts w:cstheme="minorBidi"/>
          <w:sz w:val="21"/>
          <w:szCs w:val="21"/>
        </w:rPr>
        <w:t xml:space="preserve"> IEEE Xplore </w:t>
      </w:r>
      <w:r>
        <w:rPr>
          <w:rFonts w:cstheme="minorBidi"/>
          <w:sz w:val="21"/>
          <w:szCs w:val="21"/>
        </w:rPr>
        <w:t>数字图书馆。</w:t>
      </w:r>
    </w:p>
    <w:p w:rsidR="00101E3A" w:rsidRDefault="00E7289F">
      <w:pPr>
        <w:pStyle w:val="af2"/>
        <w:spacing w:beforeAutospacing="0" w:afterAutospacing="0" w:line="300" w:lineRule="auto"/>
        <w:ind w:firstLineChars="200" w:firstLine="420"/>
        <w:rPr>
          <w:rFonts w:cstheme="minorBidi"/>
          <w:sz w:val="21"/>
          <w:szCs w:val="21"/>
        </w:rPr>
      </w:pPr>
      <w:r>
        <w:rPr>
          <w:rFonts w:cstheme="minorBidi"/>
          <w:sz w:val="21"/>
          <w:szCs w:val="21"/>
        </w:rPr>
        <w:t>论文集上线后，</w:t>
      </w:r>
      <w:r>
        <w:rPr>
          <w:rFonts w:cstheme="minorBidi"/>
          <w:sz w:val="21"/>
          <w:szCs w:val="21"/>
        </w:rPr>
        <w:t xml:space="preserve">IEEE </w:t>
      </w:r>
      <w:r>
        <w:rPr>
          <w:rFonts w:cstheme="minorBidi"/>
          <w:sz w:val="21"/>
          <w:szCs w:val="21"/>
        </w:rPr>
        <w:t>将向全球各大学术数据库推送全部会议论文的摘要及索引信息，扩大本次会议学术成果的传播范围。</w:t>
      </w:r>
      <w:r>
        <w:rPr>
          <w:rFonts w:cstheme="minorBidi"/>
          <w:sz w:val="21"/>
          <w:szCs w:val="21"/>
        </w:rPr>
        <w:t xml:space="preserve">IEEE </w:t>
      </w:r>
      <w:r>
        <w:rPr>
          <w:rFonts w:cstheme="minorBidi"/>
          <w:sz w:val="21"/>
          <w:szCs w:val="21"/>
        </w:rPr>
        <w:t>将积极推动会议论文被各类文摘索引数据库收录，但各索引机构拥有独立编审选择权，</w:t>
      </w:r>
      <w:r>
        <w:rPr>
          <w:rFonts w:cstheme="minorBidi"/>
          <w:sz w:val="21"/>
          <w:szCs w:val="21"/>
        </w:rPr>
        <w:t xml:space="preserve">IEEE </w:t>
      </w:r>
      <w:r>
        <w:rPr>
          <w:rFonts w:cstheme="minorBidi"/>
          <w:sz w:val="21"/>
          <w:szCs w:val="21"/>
        </w:rPr>
        <w:t>不保证论文必定被某一特定数据库收录。</w:t>
      </w:r>
      <w:bookmarkStart w:id="0" w:name="_GoBack"/>
      <w:bookmarkEnd w:id="0"/>
      <w:r>
        <w:rPr>
          <w:rFonts w:cstheme="minorBidi"/>
          <w:sz w:val="21"/>
          <w:szCs w:val="21"/>
        </w:rPr>
        <w:t>欢迎各位作者核对个人论文的线上展示信息，如存在相关疑问可与</w:t>
      </w:r>
      <w:r>
        <w:rPr>
          <w:rFonts w:cstheme="minorBidi"/>
          <w:sz w:val="21"/>
          <w:szCs w:val="21"/>
        </w:rPr>
        <w:t xml:space="preserve"> IEEE </w:t>
      </w:r>
      <w:r>
        <w:rPr>
          <w:rFonts w:cstheme="minorBidi"/>
          <w:sz w:val="21"/>
          <w:szCs w:val="21"/>
        </w:rPr>
        <w:t>会议部门沟通。</w:t>
      </w:r>
      <w:r>
        <w:rPr>
          <w:rFonts w:cstheme="minorBidi"/>
          <w:sz w:val="21"/>
          <w:szCs w:val="21"/>
        </w:rPr>
        <w:t xml:space="preserve">IEEE </w:t>
      </w:r>
      <w:r>
        <w:rPr>
          <w:rFonts w:cstheme="minorBidi"/>
          <w:sz w:val="21"/>
          <w:szCs w:val="21"/>
        </w:rPr>
        <w:t>方面也表达了合作谢意，期待后续继续开展学术会议方面的合作。</w:t>
      </w:r>
    </w:p>
    <w:p w:rsidR="00101E3A" w:rsidRDefault="00E7289F">
      <w:pPr>
        <w:pStyle w:val="af2"/>
        <w:spacing w:beforeAutospacing="0" w:afterAutospacing="0" w:line="300" w:lineRule="auto"/>
        <w:ind w:firstLineChars="200" w:firstLine="480"/>
      </w:pPr>
      <w:r>
        <w:rPr>
          <w:noProof/>
        </w:rPr>
        <w:drawing>
          <wp:inline distT="0" distB="0" distL="114300" distR="114300">
            <wp:extent cx="1856105" cy="2244090"/>
            <wp:effectExtent l="0" t="0" r="635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56105" cy="224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861185" cy="2260600"/>
            <wp:effectExtent l="0" t="0" r="635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1185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849755" cy="2280285"/>
            <wp:effectExtent l="0" t="0" r="6985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49755" cy="22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E3A" w:rsidRDefault="00E7289F">
      <w:pPr>
        <w:spacing w:after="0" w:line="300" w:lineRule="auto"/>
        <w:ind w:firstLine="482"/>
        <w:jc w:val="both"/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t>2026</w:t>
      </w:r>
      <w:r>
        <w:rPr>
          <w:sz w:val="21"/>
          <w:szCs w:val="21"/>
          <w:lang w:eastAsia="zh-CN"/>
        </w:rPr>
        <w:t>年</w:t>
      </w:r>
      <w:r>
        <w:rPr>
          <w:sz w:val="21"/>
          <w:szCs w:val="21"/>
          <w:lang w:eastAsia="zh-CN"/>
        </w:rPr>
        <w:t>7</w:t>
      </w:r>
      <w:r>
        <w:rPr>
          <w:sz w:val="21"/>
          <w:szCs w:val="21"/>
          <w:lang w:eastAsia="zh-CN"/>
        </w:rPr>
        <w:t>月</w:t>
      </w:r>
      <w:r>
        <w:rPr>
          <w:sz w:val="21"/>
          <w:szCs w:val="21"/>
          <w:lang w:eastAsia="zh-CN"/>
        </w:rPr>
        <w:t>27</w:t>
      </w:r>
      <w:r>
        <w:rPr>
          <w:sz w:val="21"/>
          <w:szCs w:val="21"/>
          <w:lang w:eastAsia="zh-CN"/>
        </w:rPr>
        <w:t>日至</w:t>
      </w:r>
      <w:r>
        <w:rPr>
          <w:sz w:val="21"/>
          <w:szCs w:val="21"/>
          <w:lang w:eastAsia="zh-CN"/>
        </w:rPr>
        <w:t>30</w:t>
      </w:r>
      <w:r>
        <w:rPr>
          <w:sz w:val="21"/>
          <w:szCs w:val="21"/>
          <w:lang w:eastAsia="zh-CN"/>
        </w:rPr>
        <w:t>日，</w:t>
      </w:r>
      <w:r>
        <w:rPr>
          <w:sz w:val="21"/>
          <w:szCs w:val="21"/>
          <w:lang w:eastAsia="zh-CN"/>
        </w:rPr>
        <w:t>IEEE</w:t>
      </w:r>
      <w:r>
        <w:rPr>
          <w:sz w:val="21"/>
          <w:szCs w:val="21"/>
          <w:lang w:eastAsia="zh-CN"/>
        </w:rPr>
        <w:t>智能交通与智慧城市国际研讨会（</w:t>
      </w:r>
      <w:r>
        <w:rPr>
          <w:sz w:val="21"/>
          <w:szCs w:val="21"/>
          <w:lang w:eastAsia="zh-CN"/>
        </w:rPr>
        <w:t>ITASC 2026</w:t>
      </w:r>
      <w:r>
        <w:rPr>
          <w:sz w:val="21"/>
          <w:szCs w:val="21"/>
          <w:lang w:eastAsia="zh-CN"/>
        </w:rPr>
        <w:t>）在日本福冈工业大学举行。本届会议</w:t>
      </w:r>
      <w:r>
        <w:rPr>
          <w:sz w:val="21"/>
          <w:szCs w:val="21"/>
          <w:lang w:eastAsia="zh-CN"/>
        </w:rPr>
        <w:t>IEEE</w:t>
      </w:r>
      <w:r>
        <w:rPr>
          <w:sz w:val="21"/>
          <w:szCs w:val="21"/>
          <w:lang w:eastAsia="zh-CN"/>
        </w:rPr>
        <w:t>智能与服务导向系统工程国际大会（</w:t>
      </w:r>
      <w:r>
        <w:rPr>
          <w:sz w:val="21"/>
          <w:szCs w:val="21"/>
          <w:lang w:eastAsia="zh-CN"/>
        </w:rPr>
        <w:t>CISOSE 2026</w:t>
      </w:r>
      <w:r>
        <w:rPr>
          <w:sz w:val="21"/>
          <w:szCs w:val="21"/>
          <w:lang w:eastAsia="zh-CN"/>
        </w:rPr>
        <w:t>）同期举办，同济大学交通学院为会议支持单位。大会聚焦智能与绿色交通、智慧城市、交通大数据、人工智能与大语言模型、高速铁路安全与绿色</w:t>
      </w:r>
      <w:r>
        <w:rPr>
          <w:sz w:val="21"/>
          <w:szCs w:val="21"/>
          <w:lang w:eastAsia="zh-CN"/>
        </w:rPr>
        <w:t>建造等前沿方向，汇聚来自高校、科研机构和产业界的专家学者开展交流。</w:t>
      </w:r>
    </w:p>
    <w:p w:rsidR="00101E3A" w:rsidRDefault="00E7289F">
      <w:pPr>
        <w:spacing w:after="0" w:line="300" w:lineRule="auto"/>
        <w:ind w:firstLine="482"/>
        <w:jc w:val="center"/>
        <w:rPr>
          <w:sz w:val="21"/>
          <w:szCs w:val="21"/>
          <w:lang w:eastAsia="zh-CN"/>
        </w:rPr>
      </w:pPr>
      <w:r>
        <w:rPr>
          <w:noProof/>
          <w:sz w:val="21"/>
          <w:szCs w:val="21"/>
        </w:rPr>
        <w:drawing>
          <wp:inline distT="0" distB="0" distL="0" distR="0">
            <wp:extent cx="2755900" cy="1911350"/>
            <wp:effectExtent l="0" t="0" r="6350" b="0"/>
            <wp:docPr id="7159073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907367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89837" cy="1934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E3A" w:rsidRDefault="00E7289F">
      <w:pPr>
        <w:spacing w:after="0" w:line="300" w:lineRule="auto"/>
        <w:ind w:firstLine="482"/>
        <w:jc w:val="both"/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t>本届会议国际参与度进一步提升。据</w:t>
      </w:r>
      <w:r>
        <w:rPr>
          <w:sz w:val="21"/>
          <w:szCs w:val="21"/>
          <w:lang w:eastAsia="zh-CN"/>
        </w:rPr>
        <w:t>ITASC 2026</w:t>
      </w:r>
      <w:r>
        <w:rPr>
          <w:sz w:val="21"/>
          <w:szCs w:val="21"/>
          <w:lang w:eastAsia="zh-CN"/>
        </w:rPr>
        <w:t>技术程序委员会主席寄语，会议共收到来自</w:t>
      </w:r>
      <w:r>
        <w:rPr>
          <w:sz w:val="21"/>
          <w:szCs w:val="21"/>
          <w:lang w:eastAsia="zh-CN"/>
        </w:rPr>
        <w:t>10</w:t>
      </w:r>
      <w:r>
        <w:rPr>
          <w:sz w:val="21"/>
          <w:szCs w:val="21"/>
          <w:lang w:eastAsia="zh-CN"/>
        </w:rPr>
        <w:t>个国家的</w:t>
      </w:r>
      <w:r>
        <w:rPr>
          <w:sz w:val="21"/>
          <w:szCs w:val="21"/>
          <w:lang w:eastAsia="zh-CN"/>
        </w:rPr>
        <w:t>32</w:t>
      </w:r>
      <w:r>
        <w:rPr>
          <w:sz w:val="21"/>
          <w:szCs w:val="21"/>
          <w:lang w:eastAsia="zh-CN"/>
        </w:rPr>
        <w:t>篇投稿，技术程序委员会由来自全球学术界和工业界的</w:t>
      </w:r>
      <w:r>
        <w:rPr>
          <w:sz w:val="21"/>
          <w:szCs w:val="21"/>
          <w:lang w:eastAsia="zh-CN"/>
        </w:rPr>
        <w:t>50</w:t>
      </w:r>
      <w:r>
        <w:rPr>
          <w:sz w:val="21"/>
          <w:szCs w:val="21"/>
          <w:lang w:eastAsia="zh-CN"/>
        </w:rPr>
        <w:t>名成员组成。每篇投稿均经过多位专家评审，并在评审阶段结束后由委员会开展线上讨论。最终共有</w:t>
      </w:r>
      <w:r>
        <w:rPr>
          <w:sz w:val="21"/>
          <w:szCs w:val="21"/>
          <w:lang w:eastAsia="zh-CN"/>
        </w:rPr>
        <w:t>18</w:t>
      </w:r>
      <w:r>
        <w:rPr>
          <w:sz w:val="21"/>
          <w:szCs w:val="21"/>
          <w:lang w:eastAsia="zh-CN"/>
        </w:rPr>
        <w:t>篇论文纳入会议议程，其中技术议程包含</w:t>
      </w:r>
      <w:r>
        <w:rPr>
          <w:sz w:val="21"/>
          <w:szCs w:val="21"/>
          <w:lang w:eastAsia="zh-CN"/>
        </w:rPr>
        <w:t>14</w:t>
      </w:r>
      <w:r>
        <w:rPr>
          <w:sz w:val="21"/>
          <w:szCs w:val="21"/>
          <w:lang w:eastAsia="zh-CN"/>
        </w:rPr>
        <w:t>篇常规论文。严格的同行评审与充分讨论，为会议学术质量提供了保障。</w:t>
      </w:r>
    </w:p>
    <w:p w:rsidR="00101E3A" w:rsidRDefault="00E7289F">
      <w:pPr>
        <w:spacing w:after="0" w:line="300" w:lineRule="auto"/>
        <w:ind w:firstLine="482"/>
        <w:jc w:val="both"/>
        <w:rPr>
          <w:sz w:val="21"/>
          <w:szCs w:val="21"/>
          <w:lang w:eastAsia="zh-CN"/>
        </w:rPr>
      </w:pPr>
      <w:r>
        <w:rPr>
          <w:sz w:val="21"/>
          <w:szCs w:val="21"/>
        </w:rPr>
        <w:t>7</w:t>
      </w:r>
      <w:r>
        <w:rPr>
          <w:sz w:val="21"/>
          <w:szCs w:val="21"/>
        </w:rPr>
        <w:t>月</w:t>
      </w:r>
      <w:r>
        <w:rPr>
          <w:sz w:val="21"/>
          <w:szCs w:val="21"/>
        </w:rPr>
        <w:t>27</w:t>
      </w:r>
      <w:r>
        <w:rPr>
          <w:sz w:val="21"/>
          <w:szCs w:val="21"/>
        </w:rPr>
        <w:t>日下午，</w:t>
      </w:r>
      <w:r>
        <w:rPr>
          <w:sz w:val="21"/>
          <w:szCs w:val="21"/>
        </w:rPr>
        <w:t>ITASC 2026</w:t>
      </w:r>
      <w:r>
        <w:rPr>
          <w:sz w:val="21"/>
          <w:szCs w:val="21"/>
        </w:rPr>
        <w:t>共同大会主席、</w:t>
      </w:r>
      <w:proofErr w:type="gramStart"/>
      <w:r>
        <w:rPr>
          <w:sz w:val="21"/>
          <w:szCs w:val="21"/>
        </w:rPr>
        <w:t>同济大学交通学院曾小清教授作题为</w:t>
      </w:r>
      <w:r>
        <w:rPr>
          <w:sz w:val="21"/>
          <w:szCs w:val="21"/>
        </w:rPr>
        <w:t>“</w:t>
      </w:r>
      <w:proofErr w:type="gramEnd"/>
      <w:r>
        <w:rPr>
          <w:sz w:val="21"/>
          <w:szCs w:val="21"/>
        </w:rPr>
        <w:t>Prospect for the Development of High-Speed Railway Information and Control Technology”</w:t>
      </w:r>
      <w:r>
        <w:rPr>
          <w:sz w:val="21"/>
          <w:szCs w:val="21"/>
        </w:rPr>
        <w:t>（《</w:t>
      </w:r>
      <w:proofErr w:type="spellStart"/>
      <w:r>
        <w:rPr>
          <w:sz w:val="21"/>
          <w:szCs w:val="21"/>
        </w:rPr>
        <w:t>高速铁路信息与控制技</w:t>
      </w:r>
      <w:r>
        <w:rPr>
          <w:sz w:val="21"/>
          <w:szCs w:val="21"/>
        </w:rPr>
        <w:lastRenderedPageBreak/>
        <w:t>术发展展望</w:t>
      </w:r>
      <w:proofErr w:type="spellEnd"/>
      <w:r>
        <w:rPr>
          <w:sz w:val="21"/>
          <w:szCs w:val="21"/>
        </w:rPr>
        <w:t>》）</w:t>
      </w:r>
      <w:proofErr w:type="spellStart"/>
      <w:r>
        <w:rPr>
          <w:sz w:val="21"/>
          <w:szCs w:val="21"/>
        </w:rPr>
        <w:t>的主题报告</w:t>
      </w:r>
      <w:proofErr w:type="spellEnd"/>
      <w:r>
        <w:rPr>
          <w:sz w:val="21"/>
          <w:szCs w:val="21"/>
        </w:rPr>
        <w:t>。</w:t>
      </w:r>
      <w:r>
        <w:rPr>
          <w:sz w:val="21"/>
          <w:szCs w:val="21"/>
          <w:lang w:eastAsia="zh-CN"/>
        </w:rPr>
        <w:t>报告围绕数字与</w:t>
      </w:r>
      <w:r>
        <w:rPr>
          <w:sz w:val="21"/>
          <w:szCs w:val="21"/>
          <w:lang w:eastAsia="zh-CN"/>
        </w:rPr>
        <w:t>AI</w:t>
      </w:r>
      <w:r>
        <w:rPr>
          <w:sz w:val="21"/>
          <w:szCs w:val="21"/>
          <w:lang w:eastAsia="zh-CN"/>
        </w:rPr>
        <w:t>驱动的韧性高速铁路站场系统安保环保关键技术及应用，介绍了团队在高速铁路信息感知、风险分析、智能控制、安全保障和环境保护等方面的研究进展，并就人工智能技术与韧性交通系统的融合发展进行了交流。</w:t>
      </w:r>
    </w:p>
    <w:p w:rsidR="00101E3A" w:rsidRDefault="00E7289F">
      <w:pPr>
        <w:spacing w:after="0" w:line="300" w:lineRule="auto"/>
        <w:ind w:firstLine="482"/>
        <w:jc w:val="center"/>
        <w:rPr>
          <w:sz w:val="21"/>
          <w:szCs w:val="21"/>
          <w:lang w:eastAsia="zh-CN"/>
        </w:rPr>
      </w:pPr>
      <w:r>
        <w:rPr>
          <w:noProof/>
          <w:sz w:val="21"/>
          <w:szCs w:val="21"/>
        </w:rPr>
        <w:drawing>
          <wp:inline distT="0" distB="0" distL="0" distR="0">
            <wp:extent cx="3689350" cy="1819275"/>
            <wp:effectExtent l="0" t="0" r="6350" b="9525"/>
            <wp:docPr id="11127451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745144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31993" cy="1840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E3A" w:rsidRDefault="00E7289F">
      <w:pPr>
        <w:spacing w:after="0" w:line="300" w:lineRule="auto"/>
        <w:ind w:firstLine="482"/>
        <w:jc w:val="both"/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t>ITASC</w:t>
      </w:r>
      <w:r>
        <w:rPr>
          <w:sz w:val="21"/>
          <w:szCs w:val="21"/>
          <w:lang w:eastAsia="zh-CN"/>
        </w:rPr>
        <w:t>系列研讨会自</w:t>
      </w:r>
      <w:r>
        <w:rPr>
          <w:sz w:val="21"/>
          <w:szCs w:val="21"/>
          <w:lang w:eastAsia="zh-CN"/>
        </w:rPr>
        <w:t>2013</w:t>
      </w:r>
      <w:r>
        <w:rPr>
          <w:sz w:val="21"/>
          <w:szCs w:val="21"/>
          <w:lang w:eastAsia="zh-CN"/>
        </w:rPr>
        <w:t>年创办以来，持续搭建交通工程、城市基础设施与人工</w:t>
      </w:r>
      <w:r>
        <w:rPr>
          <w:sz w:val="21"/>
          <w:szCs w:val="21"/>
          <w:lang w:eastAsia="zh-CN"/>
        </w:rPr>
        <w:t>智能等领域的国际交流平台。本届会议在日本举行，进一步拓展了智慧交通与智慧城市领域的国际学术合作网络，也展示了同济大学交通学院在智能交通、轨道交通及相关交叉方向的研究成果。未来，学院将继续依托高水平国际学术平台，深化跨学科、跨区域交流合作，为交通运输领域科技创新与高质量发展贡献同济智慧。</w:t>
      </w:r>
    </w:p>
    <w:sectPr w:rsidR="00101E3A">
      <w:pgSz w:w="12240" w:h="15840"/>
      <w:pgMar w:top="1361" w:right="1474" w:bottom="1304" w:left="147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289F" w:rsidRDefault="00E7289F">
      <w:pPr>
        <w:spacing w:line="240" w:lineRule="auto"/>
      </w:pPr>
      <w:r>
        <w:separator/>
      </w:r>
    </w:p>
  </w:endnote>
  <w:endnote w:type="continuationSeparator" w:id="0">
    <w:p w:rsidR="00E7289F" w:rsidRDefault="00E728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MS Mincho">
    <w:altName w:val="ＭＳ 明朝"/>
    <w:panose1 w:val="020206090402050803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289F" w:rsidRDefault="00E7289F">
      <w:pPr>
        <w:spacing w:after="0"/>
      </w:pPr>
      <w:r>
        <w:separator/>
      </w:r>
    </w:p>
  </w:footnote>
  <w:footnote w:type="continuationSeparator" w:id="0">
    <w:p w:rsidR="00E7289F" w:rsidRDefault="00E7289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1E3A"/>
    <w:rsid w:val="0015074B"/>
    <w:rsid w:val="00167A66"/>
    <w:rsid w:val="0029639D"/>
    <w:rsid w:val="00326F90"/>
    <w:rsid w:val="00690D8C"/>
    <w:rsid w:val="00AA1D8D"/>
    <w:rsid w:val="00B20A37"/>
    <w:rsid w:val="00B47730"/>
    <w:rsid w:val="00B60D68"/>
    <w:rsid w:val="00CB0664"/>
    <w:rsid w:val="00E7289F"/>
    <w:rsid w:val="00FC693F"/>
    <w:rsid w:val="119B6B71"/>
    <w:rsid w:val="2BF92C52"/>
    <w:rsid w:val="4F297602"/>
    <w:rsid w:val="57F05080"/>
    <w:rsid w:val="6BCB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94FD9321-0009-4D54-BF3A-8616A5D8D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/>
    <w:lsdException w:name="List Bullet" w:unhideWhenUsed="1" w:qFormat="1"/>
    <w:lsdException w:name="List Number" w:unhideWhenUsed="1" w:qFormat="1"/>
    <w:lsdException w:name="List 2" w:unhideWhenUsed="1"/>
    <w:lsdException w:name="List 3" w:unhideWhenUsed="1" w:qFormat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 w:qFormat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unhideWhenUsed="1"/>
    <w:lsdException w:name="List Continue 2" w:unhideWhenUsed="1" w:qFormat="1"/>
    <w:lsdException w:name="List Continue 3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/>
    <w:lsdException w:name="Medium List 2 Accent 2" w:uiPriority="66" w:qFormat="1"/>
    <w:lsdException w:name="Medium Grid 1 Accent 2" w:uiPriority="67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pPr>
      <w:spacing w:after="200" w:line="276" w:lineRule="auto"/>
    </w:pPr>
    <w:rPr>
      <w:rFonts w:cstheme="minorBidi"/>
      <w:sz w:val="24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 w:cstheme="minorBidi"/>
      <w:lang w:eastAsia="en-US"/>
    </w:rPr>
  </w:style>
  <w:style w:type="paragraph" w:styleId="33">
    <w:name w:val="List 3"/>
    <w:basedOn w:val="a1"/>
    <w:uiPriority w:val="99"/>
    <w:unhideWhenUsed/>
    <w:qFormat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qFormat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qFormat/>
    <w:pPr>
      <w:numPr>
        <w:numId w:val="2"/>
      </w:numPr>
      <w:contextualSpacing/>
    </w:pPr>
  </w:style>
  <w:style w:type="paragraph" w:styleId="a7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0">
    <w:name w:val="List Bullet"/>
    <w:basedOn w:val="a1"/>
    <w:uiPriority w:val="99"/>
    <w:unhideWhenUsed/>
    <w:qFormat/>
    <w:pPr>
      <w:numPr>
        <w:numId w:val="3"/>
      </w:numPr>
      <w:contextualSpacing/>
    </w:pPr>
  </w:style>
  <w:style w:type="paragraph" w:styleId="34">
    <w:name w:val="Body Text 3"/>
    <w:basedOn w:val="a1"/>
    <w:link w:val="35"/>
    <w:uiPriority w:val="99"/>
    <w:unhideWhenUsed/>
    <w:qFormat/>
    <w:pPr>
      <w:spacing w:after="120"/>
    </w:pPr>
    <w:rPr>
      <w:sz w:val="16"/>
      <w:szCs w:val="16"/>
    </w:rPr>
  </w:style>
  <w:style w:type="paragraph" w:styleId="30">
    <w:name w:val="List Bullet 3"/>
    <w:basedOn w:val="a1"/>
    <w:uiPriority w:val="99"/>
    <w:unhideWhenUsed/>
    <w:qFormat/>
    <w:pPr>
      <w:numPr>
        <w:numId w:val="4"/>
      </w:numPr>
      <w:contextualSpacing/>
    </w:pPr>
  </w:style>
  <w:style w:type="paragraph" w:styleId="a8">
    <w:name w:val="Body Text"/>
    <w:basedOn w:val="a1"/>
    <w:link w:val="a9"/>
    <w:uiPriority w:val="99"/>
    <w:unhideWhenUsed/>
    <w:qFormat/>
    <w:pPr>
      <w:spacing w:after="120"/>
    </w:pPr>
  </w:style>
  <w:style w:type="paragraph" w:styleId="3">
    <w:name w:val="List Number 3"/>
    <w:basedOn w:val="a1"/>
    <w:uiPriority w:val="99"/>
    <w:unhideWhenUsed/>
    <w:qFormat/>
    <w:pPr>
      <w:numPr>
        <w:numId w:val="5"/>
      </w:numPr>
      <w:contextualSpacing/>
    </w:pPr>
  </w:style>
  <w:style w:type="paragraph" w:styleId="23">
    <w:name w:val="List 2"/>
    <w:basedOn w:val="a1"/>
    <w:uiPriority w:val="99"/>
    <w:unhideWhenUsed/>
    <w:pPr>
      <w:ind w:left="720" w:hanging="360"/>
      <w:contextualSpacing/>
    </w:pPr>
  </w:style>
  <w:style w:type="paragraph" w:styleId="aa">
    <w:name w:val="List Continue"/>
    <w:basedOn w:val="a1"/>
    <w:uiPriority w:val="99"/>
    <w:unhideWhenUsed/>
    <w:pPr>
      <w:spacing w:after="120"/>
      <w:ind w:left="360"/>
      <w:contextualSpacing/>
    </w:pPr>
  </w:style>
  <w:style w:type="paragraph" w:styleId="20">
    <w:name w:val="List Bullet 2"/>
    <w:basedOn w:val="a1"/>
    <w:uiPriority w:val="99"/>
    <w:unhideWhenUsed/>
    <w:qFormat/>
    <w:pPr>
      <w:numPr>
        <w:numId w:val="6"/>
      </w:numPr>
      <w:contextualSpacing/>
    </w:pPr>
  </w:style>
  <w:style w:type="paragraph" w:styleId="ab">
    <w:name w:val="footer"/>
    <w:basedOn w:val="a1"/>
    <w:link w:val="ac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d">
    <w:name w:val="header"/>
    <w:basedOn w:val="a1"/>
    <w:link w:val="ae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f">
    <w:name w:val="Subtitle"/>
    <w:basedOn w:val="a1"/>
    <w:next w:val="a1"/>
    <w:link w:val="af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af1">
    <w:name w:val="List"/>
    <w:basedOn w:val="a1"/>
    <w:uiPriority w:val="99"/>
    <w:unhideWhenUsed/>
    <w:pPr>
      <w:ind w:left="360" w:hanging="360"/>
      <w:contextualSpacing/>
    </w:pPr>
  </w:style>
  <w:style w:type="paragraph" w:styleId="24">
    <w:name w:val="Body Text 2"/>
    <w:basedOn w:val="a1"/>
    <w:link w:val="25"/>
    <w:uiPriority w:val="99"/>
    <w:unhideWhenUsed/>
    <w:qFormat/>
    <w:pPr>
      <w:spacing w:after="120" w:line="480" w:lineRule="auto"/>
    </w:pPr>
  </w:style>
  <w:style w:type="paragraph" w:styleId="26">
    <w:name w:val="List Continue 2"/>
    <w:basedOn w:val="a1"/>
    <w:uiPriority w:val="99"/>
    <w:unhideWhenUsed/>
    <w:qFormat/>
    <w:pPr>
      <w:spacing w:after="120"/>
      <w:ind w:left="720"/>
      <w:contextualSpacing/>
    </w:pPr>
  </w:style>
  <w:style w:type="paragraph" w:styleId="af2">
    <w:name w:val="Normal (Web)"/>
    <w:basedOn w:val="a1"/>
    <w:uiPriority w:val="99"/>
    <w:semiHidden/>
    <w:unhideWhenUsed/>
    <w:qFormat/>
    <w:pPr>
      <w:spacing w:beforeAutospacing="1" w:after="0" w:afterAutospacing="1"/>
    </w:pPr>
    <w:rPr>
      <w:rFonts w:cs="Times New Roman"/>
      <w:lang w:eastAsia="zh-CN"/>
    </w:rPr>
  </w:style>
  <w:style w:type="paragraph" w:styleId="36">
    <w:name w:val="List Continue 3"/>
    <w:basedOn w:val="a1"/>
    <w:uiPriority w:val="99"/>
    <w:unhideWhenUsed/>
    <w:qFormat/>
    <w:pPr>
      <w:spacing w:after="120"/>
      <w:ind w:left="1080"/>
      <w:contextualSpacing/>
    </w:pPr>
  </w:style>
  <w:style w:type="paragraph" w:styleId="af3">
    <w:name w:val="Title"/>
    <w:basedOn w:val="a1"/>
    <w:next w:val="a1"/>
    <w:link w:val="af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5">
    <w:name w:val="Table Grid"/>
    <w:basedOn w:val="a3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Light Shading"/>
    <w:basedOn w:val="a3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qFormat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7">
    <w:name w:val="Light List"/>
    <w:basedOn w:val="a3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8">
    <w:name w:val="Light Grid"/>
    <w:basedOn w:val="a3"/>
    <w:uiPriority w:val="62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1">
    <w:name w:val="Medium Shading 1"/>
    <w:basedOn w:val="a3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qFormat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qFormat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qFormat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qFormat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9">
    <w:name w:val="Dark List"/>
    <w:basedOn w:val="a3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a">
    <w:name w:val="Colorful Shading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qFormat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qFormat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qFormat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b">
    <w:name w:val="Colorful List"/>
    <w:basedOn w:val="a3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c">
    <w:name w:val="Colorful Grid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d">
    <w:name w:val="Strong"/>
    <w:basedOn w:val="a2"/>
    <w:uiPriority w:val="22"/>
    <w:qFormat/>
    <w:rPr>
      <w:b/>
      <w:bCs/>
    </w:rPr>
  </w:style>
  <w:style w:type="character" w:styleId="afe">
    <w:name w:val="Emphasis"/>
    <w:basedOn w:val="a2"/>
    <w:uiPriority w:val="20"/>
    <w:qFormat/>
    <w:rPr>
      <w:i/>
      <w:iCs/>
    </w:rPr>
  </w:style>
  <w:style w:type="character" w:customStyle="1" w:styleId="ae">
    <w:name w:val="页眉 字符"/>
    <w:basedOn w:val="a2"/>
    <w:link w:val="ad"/>
    <w:uiPriority w:val="99"/>
    <w:qFormat/>
  </w:style>
  <w:style w:type="character" w:customStyle="1" w:styleId="ac">
    <w:name w:val="页脚 字符"/>
    <w:basedOn w:val="a2"/>
    <w:link w:val="ab"/>
    <w:uiPriority w:val="99"/>
  </w:style>
  <w:style w:type="paragraph" w:styleId="aff">
    <w:name w:val="No Spacing"/>
    <w:uiPriority w:val="1"/>
    <w:qFormat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10">
    <w:name w:val="标题 1 字符"/>
    <w:basedOn w:val="a2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4">
    <w:name w:val="标题 字符"/>
    <w:basedOn w:val="a2"/>
    <w:link w:val="af3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副标题 字符"/>
    <w:basedOn w:val="a2"/>
    <w:link w:val="af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0">
    <w:name w:val="List Paragraph"/>
    <w:basedOn w:val="a1"/>
    <w:uiPriority w:val="34"/>
    <w:qFormat/>
    <w:pPr>
      <w:ind w:left="720"/>
      <w:contextualSpacing/>
    </w:pPr>
  </w:style>
  <w:style w:type="character" w:customStyle="1" w:styleId="a9">
    <w:name w:val="正文文本 字符"/>
    <w:basedOn w:val="a2"/>
    <w:link w:val="a8"/>
    <w:uiPriority w:val="99"/>
    <w:qFormat/>
  </w:style>
  <w:style w:type="character" w:customStyle="1" w:styleId="25">
    <w:name w:val="正文文本 2 字符"/>
    <w:basedOn w:val="a2"/>
    <w:link w:val="24"/>
    <w:uiPriority w:val="99"/>
    <w:qFormat/>
  </w:style>
  <w:style w:type="character" w:customStyle="1" w:styleId="35">
    <w:name w:val="正文文本 3 字符"/>
    <w:basedOn w:val="a2"/>
    <w:link w:val="34"/>
    <w:uiPriority w:val="99"/>
    <w:qFormat/>
    <w:rPr>
      <w:sz w:val="16"/>
      <w:szCs w:val="16"/>
    </w:rPr>
  </w:style>
  <w:style w:type="character" w:customStyle="1" w:styleId="a6">
    <w:name w:val="宏文本 字符"/>
    <w:basedOn w:val="a2"/>
    <w:link w:val="a5"/>
    <w:uiPriority w:val="99"/>
    <w:qFormat/>
    <w:rPr>
      <w:rFonts w:ascii="Courier" w:hAnsi="Courier"/>
      <w:sz w:val="20"/>
      <w:szCs w:val="20"/>
    </w:rPr>
  </w:style>
  <w:style w:type="paragraph" w:styleId="aff1">
    <w:name w:val="Quote"/>
    <w:basedOn w:val="a1"/>
    <w:next w:val="a1"/>
    <w:link w:val="aff2"/>
    <w:uiPriority w:val="29"/>
    <w:qFormat/>
    <w:rPr>
      <w:i/>
      <w:iCs/>
      <w:color w:val="000000" w:themeColor="text1"/>
    </w:rPr>
  </w:style>
  <w:style w:type="character" w:customStyle="1" w:styleId="aff2">
    <w:name w:val="引用 字符"/>
    <w:basedOn w:val="a2"/>
    <w:link w:val="aff1"/>
    <w:uiPriority w:val="29"/>
    <w:qFormat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标题 6 字符"/>
    <w:basedOn w:val="a2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标题 7 字符"/>
    <w:basedOn w:val="a2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3">
    <w:name w:val="Intense Quote"/>
    <w:basedOn w:val="a1"/>
    <w:next w:val="a1"/>
    <w:link w:val="aff4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4">
    <w:name w:val="明显引用 字符"/>
    <w:basedOn w:val="a2"/>
    <w:link w:val="aff3"/>
    <w:uiPriority w:val="30"/>
    <w:qFormat/>
    <w:rPr>
      <w:b/>
      <w:bCs/>
      <w:i/>
      <w:iCs/>
      <w:color w:val="4F81BD" w:themeColor="accent1"/>
    </w:rPr>
  </w:style>
  <w:style w:type="character" w:customStyle="1" w:styleId="14">
    <w:name w:val="不明显强调1"/>
    <w:basedOn w:val="a2"/>
    <w:uiPriority w:val="19"/>
    <w:qFormat/>
    <w:rPr>
      <w:i/>
      <w:iCs/>
      <w:color w:val="7F7F7F" w:themeColor="text1" w:themeTint="80"/>
    </w:rPr>
  </w:style>
  <w:style w:type="character" w:customStyle="1" w:styleId="15">
    <w:name w:val="明显强调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6">
    <w:name w:val="不明显参考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7">
    <w:name w:val="明显参考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8">
    <w:name w:val="书籍标题1"/>
    <w:basedOn w:val="a2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C384F8E-1147-4ADA-865A-4FBC82E7E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zengxq</cp:lastModifiedBy>
  <cp:revision>2</cp:revision>
  <dcterms:created xsi:type="dcterms:W3CDTF">2026-09-15T06:35:00Z</dcterms:created>
  <dcterms:modified xsi:type="dcterms:W3CDTF">2026-09-15T06:35:00Z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eyJoZGlkIjoiMWFlMWI0ODJjY2M4MGNhOTZiYWUyNGRlYzU2ODZlNGMiLCJ1c2VySWQiOiI4NTkwMDAzNDUifQ==</vt:lpwstr>
  </property>
  <property fmtid="{D5CDD505-2E9C-101B-9397-08002B2CF9AE}" pid="3" name="KSOProductBuildVer">
    <vt:lpwstr>2052-12.1.0.28505</vt:lpwstr>
  </property>
  <property fmtid="{D5CDD505-2E9C-101B-9397-08002B2CF9AE}" pid="4" name="ICV">
    <vt:lpwstr>0ABC3DA8A8484708BFEDD0E274EBDA5B_13</vt:lpwstr>
  </property>
</Properties>
</file>